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Доклад 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организации системы внутреннего обеспечения соответствия </w:t>
      </w:r>
    </w:p>
    <w:p w14:paraId="04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требованиям антимонопольного законодательства </w:t>
      </w:r>
    </w:p>
    <w:p w14:paraId="05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(антимонопольного комплаенса) </w:t>
      </w:r>
    </w:p>
    <w:p w14:paraId="06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Министерстве </w:t>
      </w:r>
      <w:r>
        <w:rPr>
          <w:rFonts w:ascii="Times New Roman" w:hAnsi="Times New Roman"/>
          <w:sz w:val="28"/>
        </w:rPr>
        <w:t>культуры Камчатского края в 2023</w:t>
      </w:r>
      <w:r>
        <w:rPr>
          <w:rFonts w:ascii="Times New Roman" w:hAnsi="Times New Roman"/>
          <w:sz w:val="28"/>
        </w:rPr>
        <w:t xml:space="preserve"> году</w:t>
      </w:r>
    </w:p>
    <w:p w14:paraId="07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организации системы внутреннего обеспечения соответствия требованиям антимонопольного законодательства </w:t>
      </w:r>
      <w:r>
        <w:rPr>
          <w:rFonts w:ascii="Times New Roman" w:hAnsi="Times New Roman"/>
          <w:sz w:val="28"/>
        </w:rPr>
        <w:t>(антимонопольного комплаенса)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 исполнение </w:t>
      </w:r>
      <w:r>
        <w:rPr>
          <w:rFonts w:ascii="Times New Roman" w:hAnsi="Times New Roman"/>
          <w:sz w:val="28"/>
        </w:rPr>
        <w:t>Указа Президента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Российской Федерации от 21.12.2017 № 618 «Об основных направлениях государственной политики по развитию конкуренции», </w:t>
      </w:r>
      <w:r>
        <w:rPr>
          <w:rFonts w:ascii="Times New Roman" w:hAnsi="Times New Roman"/>
          <w:sz w:val="28"/>
        </w:rPr>
        <w:t>в Министерстве культуры Камчатского края (далее – Министерство)</w:t>
      </w:r>
      <w:r>
        <w:rPr>
          <w:rFonts w:ascii="Times New Roman" w:hAnsi="Times New Roman"/>
          <w:sz w:val="28"/>
        </w:rPr>
        <w:t xml:space="preserve"> ведется работа в данном направлении в соответствии с</w:t>
      </w:r>
      <w:r>
        <w:rPr>
          <w:rFonts w:ascii="Times New Roman" w:hAnsi="Times New Roman"/>
          <w:sz w:val="28"/>
        </w:rPr>
        <w:t xml:space="preserve"> Положение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/>
          <w:sz w:val="28"/>
        </w:rPr>
        <w:t xml:space="preserve"> в Министерстве культуры Камчатского края.</w:t>
      </w:r>
    </w:p>
    <w:p w14:paraId="0A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выявления и оценки рисков нарушения ан</w:t>
      </w:r>
      <w:r>
        <w:rPr>
          <w:rFonts w:ascii="Times New Roman" w:hAnsi="Times New Roman"/>
          <w:sz w:val="28"/>
        </w:rPr>
        <w:t xml:space="preserve">тимонопольного законодательства проводится анализ </w:t>
      </w:r>
      <w:r>
        <w:rPr>
          <w:rFonts w:ascii="Times New Roman" w:hAnsi="Times New Roman"/>
          <w:sz w:val="28"/>
        </w:rPr>
        <w:t>сведений в структурных подразделениях Министерства о наличии нарушений антимонопольного закон</w:t>
      </w:r>
      <w:r>
        <w:rPr>
          <w:rFonts w:ascii="Times New Roman" w:hAnsi="Times New Roman"/>
          <w:sz w:val="28"/>
        </w:rPr>
        <w:t>одательства за предыдущие 3 года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Предостережений, предупреждений, штрафов, жалоб, возбужденных дел, связанных с нарушением антимонопольного законодательства в отношении Министерства </w:t>
      </w:r>
      <w:r>
        <w:rPr>
          <w:rFonts w:ascii="Times New Roman" w:hAnsi="Times New Roman"/>
          <w:sz w:val="28"/>
        </w:rPr>
        <w:t>за 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-2023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не выявлено.</w:t>
      </w:r>
    </w:p>
    <w:p w14:paraId="0B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постоянной основе </w:t>
      </w:r>
      <w:r>
        <w:rPr>
          <w:rFonts w:ascii="Times New Roman" w:hAnsi="Times New Roman"/>
          <w:sz w:val="28"/>
        </w:rPr>
        <w:t>пров</w:t>
      </w:r>
      <w:r>
        <w:rPr>
          <w:rFonts w:ascii="Times New Roman" w:hAnsi="Times New Roman"/>
          <w:sz w:val="28"/>
        </w:rPr>
        <w:t xml:space="preserve">одится </w:t>
      </w:r>
      <w:r>
        <w:rPr>
          <w:rFonts w:ascii="Times New Roman" w:hAnsi="Times New Roman"/>
          <w:sz w:val="28"/>
        </w:rPr>
        <w:t xml:space="preserve">анализ </w:t>
      </w:r>
      <w:r>
        <w:rPr>
          <w:rFonts w:ascii="Times New Roman" w:hAnsi="Times New Roman"/>
          <w:sz w:val="28"/>
        </w:rPr>
        <w:t>нормативных правовых актов Министерства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информационно-телекоммуникационной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 официальном сайте исполнительных органов государственной власти Камчатского края на странице Министерства</w:t>
      </w:r>
      <w:r>
        <w:rPr>
          <w:rFonts w:ascii="Times New Roman" w:hAnsi="Times New Roman"/>
          <w:sz w:val="28"/>
        </w:rPr>
        <w:t xml:space="preserve"> размещен и актуализируется перечень нормативных актов</w:t>
      </w:r>
      <w:r>
        <w:rPr>
          <w:rFonts w:ascii="Times New Roman" w:hAnsi="Times New Roman"/>
          <w:sz w:val="28"/>
        </w:rPr>
        <w:t>, затрагивающи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конкурентную среду и направленны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на осуществление закупок для государственных нужд, предоставление субсидий социально ориентированным некоммерческим организациям на реализацию творческих проектов, муниципальным учреждениям на развитие культуры и реализацию государственной национальной политики и укрепление гражданского единства, а также на реализацию мер государственной поддержки муниципальных учреждений культуры, находящихся на территориях сельских поселений Камчатского </w:t>
      </w:r>
      <w:r>
        <w:rPr>
          <w:rFonts w:ascii="Times New Roman" w:hAnsi="Times New Roman"/>
          <w:sz w:val="28"/>
        </w:rPr>
        <w:t xml:space="preserve">края, и их работников, </w:t>
      </w:r>
      <w:r>
        <w:rPr>
          <w:rFonts w:ascii="Times New Roman" w:hAnsi="Times New Roman"/>
          <w:sz w:val="28"/>
        </w:rPr>
        <w:t>что позволяет проводить анализ о целесообразности внесения изменений в указанные нормативные правовые акты.</w:t>
      </w:r>
    </w:p>
    <w:p w14:paraId="0C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целом, а</w:t>
      </w:r>
      <w:r>
        <w:rPr>
          <w:rFonts w:ascii="Times New Roman" w:hAnsi="Times New Roman"/>
          <w:sz w:val="28"/>
        </w:rPr>
        <w:t>нализ актов</w:t>
      </w:r>
      <w:r>
        <w:rPr>
          <w:rFonts w:ascii="Times New Roman" w:hAnsi="Times New Roman"/>
          <w:sz w:val="28"/>
        </w:rPr>
        <w:t xml:space="preserve"> показал </w:t>
      </w:r>
      <w:r>
        <w:rPr>
          <w:rFonts w:ascii="Times New Roman" w:hAnsi="Times New Roman"/>
          <w:sz w:val="28"/>
        </w:rPr>
        <w:t>обеспечение создания Министерством конкурентной среды при реализации своих полномочий.</w:t>
      </w:r>
    </w:p>
    <w:p w14:paraId="0D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</w:t>
      </w:r>
      <w:r>
        <w:rPr>
          <w:rFonts w:ascii="Times New Roman" w:hAnsi="Times New Roman"/>
          <w:sz w:val="28"/>
        </w:rPr>
        <w:t>анализ проектов нормативных правовых актов, разработанных должностными лицами</w:t>
      </w:r>
      <w:r>
        <w:rPr>
          <w:rFonts w:ascii="Times New Roman" w:hAnsi="Times New Roman"/>
          <w:sz w:val="28"/>
        </w:rPr>
        <w:t xml:space="preserve"> Министерства в 2023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>, и затрагивающих конкурентную сферу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Проекты</w:t>
      </w:r>
      <w:r>
        <w:rPr>
          <w:rFonts w:ascii="Times New Roman" w:hAnsi="Times New Roman"/>
          <w:sz w:val="28"/>
        </w:rPr>
        <w:t xml:space="preserve"> 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</w:t>
      </w:r>
      <w:r>
        <w:rPr>
          <w:rFonts w:ascii="Times New Roman" w:hAnsi="Times New Roman"/>
          <w:sz w:val="28"/>
        </w:rPr>
        <w:t>аются</w:t>
      </w:r>
      <w:r>
        <w:rPr>
          <w:rFonts w:ascii="Times New Roman" w:hAnsi="Times New Roman"/>
          <w:sz w:val="28"/>
        </w:rPr>
        <w:t xml:space="preserve"> на Едином портале проведения независимой </w:t>
      </w:r>
      <w:r>
        <w:rPr>
          <w:rFonts w:ascii="Times New Roman" w:hAnsi="Times New Roman"/>
          <w:sz w:val="28"/>
        </w:rPr>
        <w:t>антикоррупционной</w:t>
      </w:r>
      <w:r>
        <w:rPr>
          <w:rFonts w:ascii="Times New Roman" w:hAnsi="Times New Roman"/>
          <w:sz w:val="28"/>
        </w:rPr>
        <w:t xml:space="preserve"> экспертизы и </w:t>
      </w:r>
      <w:r>
        <w:rPr>
          <w:rFonts w:ascii="Times New Roman" w:hAnsi="Times New Roman"/>
          <w:sz w:val="28"/>
        </w:rPr>
        <w:t>общественного</w:t>
      </w:r>
      <w:r>
        <w:rPr>
          <w:rFonts w:ascii="Times New Roman" w:hAnsi="Times New Roman"/>
          <w:sz w:val="28"/>
        </w:rPr>
        <w:t xml:space="preserve"> обсуждения проектов нормативных правовых актов Камчатского края (</w:t>
      </w:r>
      <w:r>
        <w:rPr>
          <w:rFonts w:ascii="Times New Roman" w:hAnsi="Times New Roman"/>
          <w:sz w:val="28"/>
        </w:rPr>
        <w:t>https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npaproject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kam</w:t>
      </w:r>
      <w:r>
        <w:rPr>
          <w:rFonts w:ascii="Times New Roman" w:hAnsi="Times New Roman"/>
          <w:sz w:val="28"/>
        </w:rPr>
        <w:t>gov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>Отрицательных з</w:t>
      </w:r>
      <w:r>
        <w:rPr>
          <w:rFonts w:ascii="Times New Roman" w:hAnsi="Times New Roman"/>
          <w:sz w:val="28"/>
        </w:rPr>
        <w:t>аключени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независимых аккредитованных экспертов </w:t>
      </w:r>
      <w:r>
        <w:rPr>
          <w:rFonts w:ascii="Times New Roman" w:hAnsi="Times New Roman"/>
          <w:sz w:val="28"/>
        </w:rPr>
        <w:t xml:space="preserve">на проекты актов </w:t>
      </w:r>
      <w:r>
        <w:rPr>
          <w:rFonts w:ascii="Times New Roman" w:hAnsi="Times New Roman"/>
          <w:sz w:val="28"/>
        </w:rPr>
        <w:t>не поступали</w:t>
      </w:r>
      <w:r>
        <w:rPr>
          <w:rFonts w:ascii="Times New Roman" w:hAnsi="Times New Roman"/>
          <w:sz w:val="28"/>
        </w:rPr>
        <w:t>, положений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противоречащих антимонопольному законодательству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не выявлено</w:t>
      </w:r>
      <w:r>
        <w:rPr>
          <w:rFonts w:ascii="Times New Roman" w:hAnsi="Times New Roman"/>
          <w:sz w:val="28"/>
        </w:rPr>
        <w:t>.</w:t>
      </w:r>
    </w:p>
    <w:p w14:paraId="0E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ониторинг и анализ практики применения антимонопольного </w:t>
      </w:r>
      <w:r>
        <w:rPr>
          <w:rFonts w:ascii="Times New Roman" w:hAnsi="Times New Roman"/>
          <w:sz w:val="28"/>
        </w:rPr>
        <w:t xml:space="preserve">законодательства в Министерстве, проведенный на основании информации, полученной в </w:t>
      </w:r>
      <w:r>
        <w:rPr>
          <w:rFonts w:ascii="Times New Roman" w:hAnsi="Times New Roman"/>
          <w:sz w:val="28"/>
        </w:rPr>
        <w:t>подведомственных организациях,</w:t>
      </w:r>
      <w:r>
        <w:rPr>
          <w:rFonts w:ascii="Times New Roman" w:hAnsi="Times New Roman"/>
          <w:sz w:val="28"/>
        </w:rPr>
        <w:t xml:space="preserve"> показал, что в деятельности Министерства факты нарушения антимонопольного законодательства отсутствуют.</w:t>
      </w:r>
    </w:p>
    <w:p w14:paraId="0F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ключевых показателей, проведена в соответствии с</w:t>
      </w:r>
      <w:r>
        <w:t xml:space="preserve"> </w:t>
      </w:r>
      <w:r>
        <w:t>М</w:t>
      </w:r>
      <w:r>
        <w:rPr>
          <w:rFonts w:ascii="Times New Roman" w:hAnsi="Times New Roman"/>
          <w:sz w:val="28"/>
        </w:rPr>
        <w:t>етодикой</w:t>
      </w:r>
      <w:r>
        <w:rPr>
          <w:rFonts w:ascii="Times New Roman" w:hAnsi="Times New Roman"/>
          <w:sz w:val="28"/>
        </w:rPr>
        <w:t xml:space="preserve"> расчета ключевых показателей эффективности функционирования в федеральном органе исполнительной вла</w:t>
      </w:r>
      <w:r>
        <w:rPr>
          <w:rFonts w:ascii="Times New Roman" w:hAnsi="Times New Roman"/>
          <w:sz w:val="28"/>
        </w:rPr>
        <w:t xml:space="preserve">сти антимонопольного </w:t>
      </w:r>
      <w:r>
        <w:rPr>
          <w:rFonts w:ascii="Times New Roman" w:hAnsi="Times New Roman"/>
          <w:sz w:val="28"/>
        </w:rPr>
        <w:t>комплаенса</w:t>
      </w:r>
      <w:r>
        <w:rPr>
          <w:rFonts w:ascii="Times New Roman" w:hAnsi="Times New Roman"/>
          <w:sz w:val="28"/>
        </w:rPr>
        <w:t>.</w:t>
      </w:r>
    </w:p>
    <w:p w14:paraId="10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Ключевыми показателями эффективности антимонопольного комплаенса для Министерства </w:t>
      </w:r>
      <w:r>
        <w:rPr>
          <w:rFonts w:ascii="Times New Roman" w:hAnsi="Times New Roman"/>
          <w:sz w:val="28"/>
        </w:rPr>
        <w:t>за 2023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являются:</w:t>
      </w:r>
    </w:p>
    <w:p w14:paraId="11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оэффициент снижения количества нарушений антимонопольного законодательства со стороны Министерства (по сравнению с 2020 годом)</w:t>
      </w:r>
    </w:p>
    <w:p w14:paraId="12000000">
      <w:pPr>
        <w:pStyle w:val="Style_1"/>
        <w:spacing w:after="0"/>
        <w:ind w:hanging="360"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КСН</w:t>
      </w:r>
      <w:r>
        <w:rPr>
          <w:rFonts w:ascii="Times New Roman" w:hAnsi="Times New Roman"/>
          <w:sz w:val="28"/>
        </w:rPr>
        <w:t>=0</w:t>
      </w:r>
    </w:p>
    <w:p w14:paraId="13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проектов нормативных правовых актов Министерства,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/>
        <w:ind w:hanging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Дпнпа</w:t>
      </w:r>
      <w:r>
        <w:rPr>
          <w:rFonts w:ascii="Times New Roman" w:hAnsi="Times New Roman"/>
          <w:sz w:val="28"/>
        </w:rPr>
        <w:t>=0;</w:t>
      </w:r>
    </w:p>
    <w:p w14:paraId="15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нормативных правовых актов Министерства, в которых выявлены риски нарушения антимонопол</w:t>
      </w:r>
      <w:r>
        <w:rPr>
          <w:rFonts w:ascii="Times New Roman" w:hAnsi="Times New Roman"/>
          <w:sz w:val="28"/>
        </w:rPr>
        <w:t xml:space="preserve">ьного законодательства </w:t>
      </w:r>
    </w:p>
    <w:p w14:paraId="16000000">
      <w:pPr>
        <w:pStyle w:val="Style_1"/>
        <w:spacing w:after="0"/>
        <w:ind w:hanging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Днпа</w:t>
      </w:r>
      <w:r>
        <w:rPr>
          <w:rFonts w:ascii="Times New Roman" w:hAnsi="Times New Roman"/>
          <w:sz w:val="28"/>
        </w:rPr>
        <w:t>=0</w:t>
      </w:r>
    </w:p>
    <w:p w14:paraId="17000000">
      <w:pPr>
        <w:pStyle w:val="Style_1"/>
        <w:numPr>
          <w:ilvl w:val="0"/>
          <w:numId w:val="1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сотрудников Министерства, в отношении которых были проведены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обучающие мероприятия по антимонопольному законодательству и антимонопольному </w:t>
      </w:r>
      <w:r>
        <w:rPr>
          <w:rFonts w:ascii="Times New Roman" w:hAnsi="Times New Roman"/>
          <w:sz w:val="28"/>
        </w:rPr>
        <w:t>комплаенсу:</w:t>
      </w:r>
    </w:p>
    <w:p w14:paraId="18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ДСо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</w:rPr>
        <w:t>0.</w:t>
      </w:r>
    </w:p>
    <w:p w14:paraId="19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акты нарушения антимонопольно</w:t>
      </w:r>
      <w:r>
        <w:rPr>
          <w:rFonts w:ascii="Times New Roman" w:hAnsi="Times New Roman"/>
          <w:sz w:val="28"/>
        </w:rPr>
        <w:t>го законодательства не выявлены. С</w:t>
      </w:r>
      <w:r>
        <w:rPr>
          <w:rFonts w:ascii="Times New Roman" w:hAnsi="Times New Roman"/>
          <w:sz w:val="28"/>
        </w:rPr>
        <w:t xml:space="preserve">отрудники Министерства </w:t>
      </w:r>
      <w:r>
        <w:rPr>
          <w:rFonts w:ascii="Times New Roman" w:hAnsi="Times New Roman"/>
          <w:sz w:val="28"/>
        </w:rPr>
        <w:t>получают консультации</w:t>
      </w:r>
      <w:r>
        <w:rPr>
          <w:rFonts w:ascii="Times New Roman" w:hAnsi="Times New Roman"/>
          <w:sz w:val="28"/>
        </w:rPr>
        <w:t xml:space="preserve"> по вопросам антимонопольного законодательства, мер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реагирования со стороны федеральной антимонопольной службы в отношении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не </w:t>
      </w:r>
      <w:r>
        <w:rPr>
          <w:rFonts w:ascii="Times New Roman" w:hAnsi="Times New Roman"/>
          <w:sz w:val="28"/>
        </w:rPr>
        <w:t>принимали</w:t>
      </w:r>
      <w:r>
        <w:rPr>
          <w:rFonts w:ascii="Times New Roman" w:hAnsi="Times New Roman"/>
          <w:sz w:val="28"/>
        </w:rPr>
        <w:t>сь</w:t>
      </w:r>
      <w:r>
        <w:rPr>
          <w:rFonts w:ascii="Times New Roman" w:hAnsi="Times New Roman"/>
          <w:sz w:val="28"/>
        </w:rPr>
        <w:t xml:space="preserve">, профилактика нарушений </w:t>
      </w:r>
      <w:r>
        <w:rPr>
          <w:rFonts w:ascii="Times New Roman" w:hAnsi="Times New Roman"/>
          <w:sz w:val="28"/>
        </w:rPr>
        <w:t>антимонопольного законодательства</w:t>
      </w:r>
      <w:r>
        <w:rPr>
          <w:rFonts w:ascii="Times New Roman" w:hAnsi="Times New Roman"/>
          <w:sz w:val="28"/>
        </w:rPr>
        <w:t xml:space="preserve"> в Министерстве проведена эффективно.</w:t>
      </w:r>
    </w:p>
    <w:p w14:paraId="1A000000">
      <w:pPr>
        <w:pStyle w:val="Style_1"/>
        <w:spacing w:after="0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6" w:type="table">
    <w:name w:val="Сетка таблицы5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2024-01-31T06:45:17Z</dcterms:modified>
</cp:coreProperties>
</file>