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43" w:rsidRPr="004E2925" w:rsidRDefault="005F5443" w:rsidP="004E2925">
      <w:pPr>
        <w:pStyle w:val="af"/>
        <w:spacing w:line="276" w:lineRule="auto"/>
        <w:ind w:left="0"/>
        <w:jc w:val="center"/>
        <w:rPr>
          <w:b/>
          <w:sz w:val="28"/>
          <w:szCs w:val="28"/>
        </w:rPr>
      </w:pPr>
      <w:r w:rsidRPr="004E2925">
        <w:rPr>
          <w:b/>
          <w:sz w:val="28"/>
          <w:szCs w:val="28"/>
        </w:rPr>
        <w:t>Независимая оценка качества в сфере культуры в Камчатском крае</w:t>
      </w:r>
    </w:p>
    <w:p w:rsidR="005F5443" w:rsidRDefault="005F5443" w:rsidP="00AC3884">
      <w:pPr>
        <w:pStyle w:val="af"/>
        <w:spacing w:line="276" w:lineRule="auto"/>
        <w:ind w:left="0"/>
        <w:jc w:val="center"/>
        <w:rPr>
          <w:i/>
          <w:sz w:val="28"/>
          <w:szCs w:val="28"/>
        </w:rPr>
      </w:pPr>
      <w:r w:rsidRPr="004E2925">
        <w:rPr>
          <w:i/>
          <w:sz w:val="28"/>
          <w:szCs w:val="28"/>
        </w:rPr>
        <w:t>(</w:t>
      </w:r>
      <w:r w:rsidR="004E2925">
        <w:rPr>
          <w:i/>
          <w:sz w:val="28"/>
          <w:szCs w:val="28"/>
        </w:rPr>
        <w:t xml:space="preserve">информация актуализирована по состоянию на </w:t>
      </w:r>
      <w:r w:rsidR="00AC3884">
        <w:rPr>
          <w:i/>
          <w:sz w:val="28"/>
          <w:szCs w:val="28"/>
        </w:rPr>
        <w:t>17</w:t>
      </w:r>
      <w:r w:rsidRPr="004E2925">
        <w:rPr>
          <w:i/>
          <w:sz w:val="28"/>
          <w:szCs w:val="28"/>
        </w:rPr>
        <w:t>.04.2017)</w:t>
      </w:r>
    </w:p>
    <w:p w:rsidR="004E2925" w:rsidRPr="004E2925" w:rsidRDefault="004E2925" w:rsidP="004E2925">
      <w:pPr>
        <w:pStyle w:val="af"/>
        <w:spacing w:line="276" w:lineRule="auto"/>
        <w:ind w:left="0"/>
        <w:jc w:val="center"/>
        <w:rPr>
          <w:i/>
          <w:sz w:val="28"/>
          <w:szCs w:val="28"/>
        </w:rPr>
      </w:pPr>
    </w:p>
    <w:p w:rsidR="005F5443" w:rsidRDefault="005F5443" w:rsidP="005F5443">
      <w:pPr>
        <w:pStyle w:val="af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Сеть учреждений культуры Камчатского края представлена деятельностью 131 учреждений культуры (со 107 филиалами). Независимой оценке качества предоставления учреждениями услуг в сфере культуры подлежат </w:t>
      </w:r>
      <w:r>
        <w:rPr>
          <w:b/>
          <w:sz w:val="28"/>
          <w:szCs w:val="28"/>
        </w:rPr>
        <w:t>95</w:t>
      </w:r>
      <w:r w:rsidRPr="005F5443">
        <w:rPr>
          <w:b/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(за исключением 32-х образовательных учреждений в сфере культуры, а также 4-х организаций, исключенных из перечня учреждений, подлежащих оценке, в связи с письмом Министерства культуры Российской Федерации от 30.11.2016 № 358-01-39-СО). Для обеспечения полного охвата мероприятиями независимой оценки качества учреждений культуры на территории региона в 2017 году необходимо провести оценку в отношении 71 учреждений, в числе которых:</w:t>
      </w:r>
    </w:p>
    <w:p w:rsidR="005F5443" w:rsidRDefault="005F5443" w:rsidP="005F5443">
      <w:pPr>
        <w:pStyle w:val="af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- 17 библиотек (с 74 филиалами), в отношении которых независимая оценка качества проводилась в 2014 году и срок её действия подошел к концу;</w:t>
      </w:r>
    </w:p>
    <w:p w:rsidR="005F5443" w:rsidRDefault="00D03235" w:rsidP="005F5443">
      <w:pPr>
        <w:pStyle w:val="af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- 53</w:t>
      </w:r>
      <w:r w:rsidR="005F5443">
        <w:rPr>
          <w:sz w:val="28"/>
          <w:szCs w:val="28"/>
        </w:rPr>
        <w:t xml:space="preserve"> куль</w:t>
      </w:r>
      <w:r>
        <w:rPr>
          <w:sz w:val="28"/>
          <w:szCs w:val="28"/>
        </w:rPr>
        <w:t>турно-досуговых учреждения (с 18</w:t>
      </w:r>
      <w:r w:rsidR="005F5443">
        <w:rPr>
          <w:sz w:val="28"/>
          <w:szCs w:val="28"/>
        </w:rPr>
        <w:t xml:space="preserve"> филиалами);</w:t>
      </w:r>
    </w:p>
    <w:p w:rsidR="005F5443" w:rsidRDefault="005F5443" w:rsidP="005F5443">
      <w:pPr>
        <w:pStyle w:val="af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- 1 зоопарк.</w:t>
      </w:r>
    </w:p>
    <w:p w:rsidR="00D03235" w:rsidRDefault="00D03235" w:rsidP="00D03235">
      <w:pPr>
        <w:ind w:firstLine="709"/>
        <w:jc w:val="both"/>
        <w:rPr>
          <w:szCs w:val="28"/>
        </w:rPr>
      </w:pPr>
      <w:r>
        <w:rPr>
          <w:szCs w:val="28"/>
        </w:rPr>
        <w:t>В период 2014-2016 годы была</w:t>
      </w:r>
      <w:r w:rsidRPr="00D03235">
        <w:rPr>
          <w:szCs w:val="28"/>
        </w:rPr>
        <w:t xml:space="preserve"> проведена независимая оценка качества </w:t>
      </w:r>
      <w:r>
        <w:rPr>
          <w:szCs w:val="28"/>
        </w:rPr>
        <w:t>предоставления услуг</w:t>
      </w:r>
      <w:r w:rsidRPr="00D03235">
        <w:rPr>
          <w:szCs w:val="28"/>
        </w:rPr>
        <w:t xml:space="preserve"> в отношении 42-х учреждений культуры</w:t>
      </w:r>
      <w:r>
        <w:rPr>
          <w:szCs w:val="28"/>
        </w:rPr>
        <w:t xml:space="preserve"> в камчатском крае</w:t>
      </w:r>
      <w:r w:rsidRPr="00D03235">
        <w:rPr>
          <w:szCs w:val="28"/>
        </w:rPr>
        <w:t>: 17 муниципальных библиотек</w:t>
      </w:r>
      <w:r>
        <w:rPr>
          <w:szCs w:val="28"/>
        </w:rPr>
        <w:t xml:space="preserve"> (2014 год),</w:t>
      </w:r>
      <w:r w:rsidRPr="00D03235">
        <w:rPr>
          <w:szCs w:val="28"/>
        </w:rPr>
        <w:t xml:space="preserve"> 12-ти музеев и 1-го культурно-досугового учреждения (2015 год), 10-ти краевых государственных учреждений культуры и 2-х учреждений Тигильского муниципального района – библиотечной системы и культурно-досугового учреждения (2016 год). Истек срок действия оценки, проведенной в 2014 году в отношении </w:t>
      </w:r>
      <w:r>
        <w:rPr>
          <w:szCs w:val="28"/>
        </w:rPr>
        <w:t>17 муниципальных библиотек, данные учреждения включены в перечень учреждений, подлежащих НОК в текущем году.</w:t>
      </w:r>
    </w:p>
    <w:p w:rsidR="005F5443" w:rsidRDefault="005F5443" w:rsidP="005F5443">
      <w:pPr>
        <w:ind w:firstLine="709"/>
        <w:jc w:val="both"/>
        <w:rPr>
          <w:szCs w:val="28"/>
        </w:rPr>
      </w:pPr>
      <w:r>
        <w:rPr>
          <w:szCs w:val="28"/>
        </w:rPr>
        <w:t>В 2015 году среднее значение показателя «</w:t>
      </w:r>
      <w:r w:rsidRPr="007B2DCE">
        <w:rPr>
          <w:szCs w:val="28"/>
        </w:rPr>
        <w:t>Оценка уровня удовлетворенности качеством оказани</w:t>
      </w:r>
      <w:r>
        <w:rPr>
          <w:szCs w:val="28"/>
        </w:rPr>
        <w:t>я услуг по учреждениям культуры» значительно превысило плановое значение (87 % фактическое значение при 78 % планового). Данный показатель в отношении учреждений, проходив</w:t>
      </w:r>
      <w:r w:rsidR="001B7897">
        <w:rPr>
          <w:szCs w:val="28"/>
        </w:rPr>
        <w:t>ших НОК в 2016 году, составил 78,48</w:t>
      </w:r>
      <w:r>
        <w:rPr>
          <w:szCs w:val="28"/>
        </w:rPr>
        <w:t xml:space="preserve"> %. По результатам оценки в динамике мы наблюдаем небольшое отставание о</w:t>
      </w:r>
      <w:r w:rsidR="001B7897">
        <w:rPr>
          <w:szCs w:val="28"/>
        </w:rPr>
        <w:t>т планового значения (82,74</w:t>
      </w:r>
      <w:bookmarkStart w:id="0" w:name="_GoBack"/>
      <w:bookmarkEnd w:id="0"/>
      <w:r>
        <w:rPr>
          <w:szCs w:val="28"/>
        </w:rPr>
        <w:t xml:space="preserve"> % фактическое значение</w:t>
      </w:r>
      <w:r w:rsidR="004E2925">
        <w:rPr>
          <w:szCs w:val="28"/>
        </w:rPr>
        <w:t xml:space="preserve"> </w:t>
      </w:r>
      <w:r w:rsidR="004E2925" w:rsidRPr="004E2925">
        <w:rPr>
          <w:szCs w:val="28"/>
        </w:rPr>
        <w:t>[</w:t>
      </w:r>
      <w:r w:rsidR="004E2925">
        <w:rPr>
          <w:szCs w:val="28"/>
        </w:rPr>
        <w:t>(87+77,2)/2]</w:t>
      </w:r>
      <w:r>
        <w:rPr>
          <w:szCs w:val="28"/>
        </w:rPr>
        <w:t xml:space="preserve"> при плановом значении в 83 %). Данное отклонение от плановых показателей в 2016 году было обусловлено следующими факторами:</w:t>
      </w:r>
    </w:p>
    <w:p w:rsidR="005F5443" w:rsidRDefault="005F5443" w:rsidP="005F5443">
      <w:pPr>
        <w:ind w:firstLine="709"/>
        <w:jc w:val="both"/>
        <w:rPr>
          <w:szCs w:val="28"/>
        </w:rPr>
      </w:pPr>
      <w:r>
        <w:rPr>
          <w:szCs w:val="28"/>
        </w:rPr>
        <w:t xml:space="preserve">1. Отсутствие официального сайта у </w:t>
      </w:r>
      <w:r w:rsidRPr="007B2DCE">
        <w:rPr>
          <w:szCs w:val="28"/>
        </w:rPr>
        <w:t>КГБУ «Корякская централизованная библиотечная система Кеккетына»</w:t>
      </w:r>
      <w:r>
        <w:rPr>
          <w:szCs w:val="28"/>
        </w:rPr>
        <w:t xml:space="preserve">. В данное время ведутся работы по созданию сайта учреждения, плановый период начала его работы – </w:t>
      </w:r>
      <w:r w:rsidRPr="003537C3">
        <w:rPr>
          <w:szCs w:val="28"/>
        </w:rPr>
        <w:t>III</w:t>
      </w:r>
      <w:r>
        <w:rPr>
          <w:szCs w:val="28"/>
        </w:rPr>
        <w:t xml:space="preserve"> квартал 2017 года.</w:t>
      </w:r>
    </w:p>
    <w:p w:rsidR="005F5443" w:rsidRDefault="005F5443" w:rsidP="005F5443">
      <w:pPr>
        <w:ind w:firstLine="709"/>
        <w:jc w:val="both"/>
        <w:rPr>
          <w:szCs w:val="28"/>
        </w:rPr>
      </w:pPr>
      <w:r>
        <w:rPr>
          <w:szCs w:val="28"/>
        </w:rPr>
        <w:t xml:space="preserve">2. Размещение </w:t>
      </w:r>
      <w:r w:rsidRPr="003537C3">
        <w:rPr>
          <w:szCs w:val="28"/>
        </w:rPr>
        <w:t>КГБУ «Камчатская краевая детская библиотека имени В. Кручины»</w:t>
      </w:r>
      <w:r>
        <w:rPr>
          <w:szCs w:val="28"/>
        </w:rPr>
        <w:t xml:space="preserve"> на время проведения работ по капитальному ремонту нового здания библиотеки</w:t>
      </w:r>
      <w:r w:rsidRPr="003537C3">
        <w:rPr>
          <w:szCs w:val="28"/>
        </w:rPr>
        <w:t xml:space="preserve"> </w:t>
      </w:r>
      <w:r>
        <w:rPr>
          <w:szCs w:val="28"/>
        </w:rPr>
        <w:t xml:space="preserve">в приспособленном помещении, в связи с чем отсутствовала возможность качественного предоставления услуг населению, в том числе и размещения информации на официальном сайте учреждения. В настоящее </w:t>
      </w:r>
      <w:r>
        <w:rPr>
          <w:szCs w:val="28"/>
        </w:rPr>
        <w:lastRenderedPageBreak/>
        <w:t>время под нужды библиотеки выделено новое современное здание, открытие которого состоялось 16 февраля 2017 года. Учреждением также ведутся работы по реорганизации официального сайта учреждения.</w:t>
      </w:r>
    </w:p>
    <w:p w:rsidR="005F5443" w:rsidRDefault="005F5443" w:rsidP="005F5443">
      <w:pPr>
        <w:ind w:firstLine="709"/>
        <w:jc w:val="both"/>
        <w:rPr>
          <w:szCs w:val="28"/>
        </w:rPr>
      </w:pPr>
      <w:r>
        <w:rPr>
          <w:szCs w:val="28"/>
        </w:rPr>
        <w:t xml:space="preserve">3. Отсутствие концертного зала у </w:t>
      </w:r>
      <w:r w:rsidRPr="003537C3">
        <w:rPr>
          <w:szCs w:val="28"/>
        </w:rPr>
        <w:t>КГБУ «Камчатское концертно-филармоническое объединение»</w:t>
      </w:r>
      <w:r>
        <w:rPr>
          <w:szCs w:val="28"/>
        </w:rPr>
        <w:t>. Несмотря на это учреждение занимает одну из лидирующих позиций в общем рейтинге, сумев организовать свою деятельность на договорных условиях на базе имеющихся в регионе концертных площадок на уровне, удовлетворяющем потребительский спрос. Тем не менее отсутствие достаточных собственных материальных ресурсов снизило удовлетворенность потребителей качеством услуг, предоставляемых учреждением. В частности, респонденты указывали на отсутствие возможности возобновления практики филармонических абонементов. В целях повышения качества оказания услуг населению в текущем году под нужды учреждения выделено специальное помещение с концертным залом на 340 посадочных мест. Открытие традиционного ежегодного фестиваля искусств «Камчатская весна – 2017» (23 марта 2017 года) пройдет уже в новом концертном зале.</w:t>
      </w:r>
    </w:p>
    <w:p w:rsidR="005F5443" w:rsidRDefault="005F5443" w:rsidP="005F54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Выявленные недочеты в части предоставления учреждениями информации на собственном официальном сайте, а также на официальном сайте для размещения информации </w:t>
      </w:r>
      <w:r w:rsidRPr="00054FA7">
        <w:rPr>
          <w:szCs w:val="28"/>
        </w:rPr>
        <w:t xml:space="preserve">о государственных и муниципальных услугах </w:t>
      </w:r>
      <w:r>
        <w:rPr>
          <w:szCs w:val="28"/>
        </w:rPr>
        <w:t>(</w:t>
      </w:r>
      <w:hyperlink r:id="rId8" w:history="1">
        <w:r w:rsidRPr="00054FA7">
          <w:rPr>
            <w:szCs w:val="28"/>
            <w:u w:val="single"/>
          </w:rPr>
          <w:t>http://bus.gov.ru/</w:t>
        </w:r>
      </w:hyperlink>
      <w:r>
        <w:rPr>
          <w:szCs w:val="28"/>
          <w:u w:val="single"/>
        </w:rPr>
        <w:t>)</w:t>
      </w:r>
      <w:r w:rsidRPr="000A348B">
        <w:rPr>
          <w:szCs w:val="28"/>
        </w:rPr>
        <w:t xml:space="preserve"> устран</w:t>
      </w:r>
      <w:r>
        <w:rPr>
          <w:szCs w:val="28"/>
        </w:rPr>
        <w:t>ены. Мониторинг актуализации размещенной информации проводится как в рамках мониторинга исполнения государственных заданий учреждениями, так и в рамках целевых комплексных проверок. С 01 по 10 августа 2016 года был проведен мониторинг официальных сайтов на их соответствие  Приказу Министерства культуры Российской Федерации от 20.02.2015 г.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исполнительной власти субъектов Российской Федерации, органов местного самоуправления и организаций культуры в сети «Интернет». По результатам мониторинга в учреждения были направлены соответствующие рекомендации.</w:t>
      </w:r>
    </w:p>
    <w:p w:rsidR="0046165A" w:rsidRDefault="00631113" w:rsidP="005F54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пятерку лидеров</w:t>
      </w:r>
      <w:r w:rsidR="0046165A">
        <w:rPr>
          <w:szCs w:val="28"/>
        </w:rPr>
        <w:t xml:space="preserve"> в рейтинге учреждений культуры п</w:t>
      </w:r>
      <w:r>
        <w:rPr>
          <w:szCs w:val="28"/>
        </w:rPr>
        <w:t>о итогам 2015-2016 года входят</w:t>
      </w:r>
      <w:r w:rsidR="0046165A">
        <w:rPr>
          <w:szCs w:val="28"/>
        </w:rPr>
        <w:t>:</w:t>
      </w:r>
    </w:p>
    <w:p w:rsidR="00EC6085" w:rsidRDefault="00EC6085" w:rsidP="005F544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625"/>
        <w:gridCol w:w="1860"/>
        <w:gridCol w:w="1955"/>
        <w:gridCol w:w="1940"/>
        <w:gridCol w:w="1220"/>
      </w:tblGrid>
      <w:tr w:rsidR="00EC6085" w:rsidRPr="00EC6085" w:rsidTr="00EC6085">
        <w:trPr>
          <w:trHeight w:val="78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6085" w:rsidRPr="00EC6085" w:rsidRDefault="00EC6085" w:rsidP="00EC60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085">
              <w:rPr>
                <w:b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085" w:rsidRPr="00EC6085" w:rsidRDefault="00EC6085" w:rsidP="00EC60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085">
              <w:rPr>
                <w:b/>
                <w:color w:val="000000"/>
                <w:sz w:val="24"/>
                <w:szCs w:val="24"/>
              </w:rPr>
              <w:t>Фактический бал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085" w:rsidRPr="00EC6085" w:rsidRDefault="00EC6085" w:rsidP="00EC60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085">
              <w:rPr>
                <w:b/>
                <w:color w:val="000000"/>
                <w:sz w:val="24"/>
                <w:szCs w:val="24"/>
              </w:rPr>
              <w:t>Максимальный бал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085" w:rsidRPr="00EC6085" w:rsidRDefault="00EC6085" w:rsidP="00EC60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085">
              <w:rPr>
                <w:b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EC6085" w:rsidRPr="00EC6085" w:rsidRDefault="00EC6085" w:rsidP="00EC608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085">
              <w:rPr>
                <w:b/>
                <w:color w:val="000000"/>
                <w:sz w:val="24"/>
                <w:szCs w:val="24"/>
              </w:rPr>
              <w:t>Место в рейтинге</w:t>
            </w:r>
          </w:p>
        </w:tc>
      </w:tr>
      <w:tr w:rsidR="00631113" w:rsidRPr="00631113" w:rsidTr="00EC6085">
        <w:trPr>
          <w:trHeight w:val="78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113" w:rsidRPr="00631113" w:rsidRDefault="00631113" w:rsidP="00631113">
            <w:pPr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 xml:space="preserve">КГБУ «Камчатская краевая научная библиотека им. С.П. Крашенинникова»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94,68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83,05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1</w:t>
            </w:r>
          </w:p>
        </w:tc>
      </w:tr>
      <w:tr w:rsidR="00631113" w:rsidRPr="00631113" w:rsidTr="00EC6085">
        <w:trPr>
          <w:trHeight w:val="525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113" w:rsidRPr="00631113" w:rsidRDefault="00631113" w:rsidP="00631113">
            <w:pPr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 xml:space="preserve">КГБУ «Камчатский краевой объединенный музей»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79,38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2</w:t>
            </w:r>
          </w:p>
        </w:tc>
      </w:tr>
      <w:tr w:rsidR="00631113" w:rsidRPr="00631113" w:rsidTr="00EC6085">
        <w:trPr>
          <w:trHeight w:val="52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113" w:rsidRPr="00631113" w:rsidRDefault="00631113" w:rsidP="00631113">
            <w:pPr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 xml:space="preserve">КГБУ «Камчатский краевой </w:t>
            </w:r>
            <w:r w:rsidRPr="00631113">
              <w:rPr>
                <w:color w:val="000000"/>
                <w:sz w:val="24"/>
                <w:szCs w:val="24"/>
              </w:rPr>
              <w:lastRenderedPageBreak/>
              <w:t xml:space="preserve">художественный музей»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lastRenderedPageBreak/>
              <w:t>101,4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3</w:t>
            </w:r>
          </w:p>
        </w:tc>
      </w:tr>
      <w:tr w:rsidR="00631113" w:rsidRPr="00631113" w:rsidTr="00EC6085">
        <w:trPr>
          <w:trHeight w:val="78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113" w:rsidRPr="00631113" w:rsidRDefault="00631113" w:rsidP="00631113">
            <w:pPr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 xml:space="preserve">КГБУ «Камчатское концертно-филармоническое объединение»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87,73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76,96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4</w:t>
            </w:r>
          </w:p>
        </w:tc>
      </w:tr>
      <w:tr w:rsidR="00631113" w:rsidRPr="00631113" w:rsidTr="00EC6085">
        <w:trPr>
          <w:trHeight w:val="52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113" w:rsidRPr="00631113" w:rsidRDefault="00631113" w:rsidP="00631113">
            <w:pPr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 xml:space="preserve">КГАУ «Камчатский театр кукол»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87,55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76,80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31113" w:rsidRPr="00631113" w:rsidRDefault="00631113" w:rsidP="00EC6085">
            <w:pPr>
              <w:jc w:val="center"/>
              <w:rPr>
                <w:color w:val="000000"/>
                <w:sz w:val="24"/>
                <w:szCs w:val="24"/>
              </w:rPr>
            </w:pPr>
            <w:r w:rsidRPr="00631113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4E2925" w:rsidRDefault="004E2925" w:rsidP="005F544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F5443" w:rsidRDefault="004E2925" w:rsidP="004E2925">
      <w:pPr>
        <w:autoSpaceDE w:val="0"/>
        <w:autoSpaceDN w:val="0"/>
        <w:adjustRightInd w:val="0"/>
        <w:jc w:val="center"/>
        <w:rPr>
          <w:b/>
          <w:szCs w:val="28"/>
        </w:rPr>
      </w:pPr>
      <w:r w:rsidRPr="004E2925">
        <w:rPr>
          <w:b/>
          <w:szCs w:val="28"/>
        </w:rPr>
        <w:t>Мероприятия по организации независимой оценки качества в сфере культуры в 2017 году</w:t>
      </w:r>
    </w:p>
    <w:p w:rsidR="004E2925" w:rsidRPr="004E2925" w:rsidRDefault="004E2925" w:rsidP="004E2925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531D61" w:rsidRDefault="009B6B10" w:rsidP="00531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Перечень учреждений культуры Камчатского края, подлежащих </w:t>
      </w:r>
      <w:r w:rsidR="007E46E1">
        <w:rPr>
          <w:szCs w:val="28"/>
        </w:rPr>
        <w:t>НОК</w:t>
      </w:r>
      <w:r>
        <w:rPr>
          <w:szCs w:val="28"/>
        </w:rPr>
        <w:t xml:space="preserve"> в 2017 году</w:t>
      </w:r>
      <w:r w:rsidR="007E46E1">
        <w:rPr>
          <w:szCs w:val="28"/>
        </w:rPr>
        <w:t>,</w:t>
      </w:r>
      <w:r>
        <w:rPr>
          <w:szCs w:val="28"/>
        </w:rPr>
        <w:t xml:space="preserve"> утвержден решением Общественного Совета при Министерстве культуры Камчатского края</w:t>
      </w:r>
      <w:r w:rsidR="007E46E1">
        <w:rPr>
          <w:szCs w:val="28"/>
        </w:rPr>
        <w:t xml:space="preserve"> (далее - Совета)</w:t>
      </w:r>
      <w:r>
        <w:rPr>
          <w:szCs w:val="28"/>
        </w:rPr>
        <w:t xml:space="preserve"> от 16.02.2017 года. В</w:t>
      </w:r>
      <w:r w:rsidR="00F954D4">
        <w:rPr>
          <w:szCs w:val="28"/>
        </w:rPr>
        <w:t xml:space="preserve"> него включено</w:t>
      </w:r>
      <w:r>
        <w:rPr>
          <w:szCs w:val="28"/>
        </w:rPr>
        <w:t xml:space="preserve"> 71 муниципальное учреждение культуры (библиотеки, культурно-досуговые учреждения и зоопарк). Решение о централизованном проведении </w:t>
      </w:r>
      <w:r w:rsidR="007E46E1">
        <w:rPr>
          <w:szCs w:val="28"/>
        </w:rPr>
        <w:t>НОК</w:t>
      </w:r>
      <w:r w:rsidR="00F954D4">
        <w:rPr>
          <w:szCs w:val="28"/>
        </w:rPr>
        <w:t xml:space="preserve"> работы муниципальных</w:t>
      </w:r>
      <w:r>
        <w:rPr>
          <w:szCs w:val="28"/>
        </w:rPr>
        <w:t xml:space="preserve"> учреждени</w:t>
      </w:r>
      <w:r w:rsidR="00F954D4">
        <w:rPr>
          <w:szCs w:val="28"/>
        </w:rPr>
        <w:t>й</w:t>
      </w:r>
      <w:r>
        <w:rPr>
          <w:szCs w:val="28"/>
        </w:rPr>
        <w:t xml:space="preserve"> культуры </w:t>
      </w:r>
      <w:r w:rsidR="007E46E1">
        <w:rPr>
          <w:szCs w:val="28"/>
        </w:rPr>
        <w:t>Советом</w:t>
      </w:r>
      <w:r>
        <w:rPr>
          <w:szCs w:val="28"/>
        </w:rPr>
        <w:t xml:space="preserve"> принято в связи с</w:t>
      </w:r>
      <w:r w:rsidR="009D5100">
        <w:rPr>
          <w:szCs w:val="28"/>
        </w:rPr>
        <w:t xml:space="preserve"> отказом органов исполнительной власти местного самоуправления от реализации своего права на самостоятельное проведение </w:t>
      </w:r>
      <w:r w:rsidR="007E46E1">
        <w:rPr>
          <w:szCs w:val="28"/>
        </w:rPr>
        <w:t>НОК</w:t>
      </w:r>
      <w:r w:rsidR="009D5100">
        <w:rPr>
          <w:szCs w:val="28"/>
        </w:rPr>
        <w:t xml:space="preserve"> в отношении подведомственных учреждений</w:t>
      </w:r>
      <w:r w:rsidR="005A7AB8">
        <w:rPr>
          <w:szCs w:val="28"/>
        </w:rPr>
        <w:t xml:space="preserve"> культуры</w:t>
      </w:r>
      <w:r w:rsidR="00F954D4">
        <w:rPr>
          <w:szCs w:val="28"/>
        </w:rPr>
        <w:t>, так как организационные условия для этого</w:t>
      </w:r>
      <w:r w:rsidR="00E6712F">
        <w:rPr>
          <w:szCs w:val="28"/>
        </w:rPr>
        <w:t xml:space="preserve"> ранее муниципалитетами</w:t>
      </w:r>
      <w:r w:rsidR="00F954D4">
        <w:rPr>
          <w:szCs w:val="28"/>
        </w:rPr>
        <w:t xml:space="preserve"> не были созданы.</w:t>
      </w:r>
      <w:r w:rsidR="007E46E1">
        <w:rPr>
          <w:szCs w:val="28"/>
        </w:rPr>
        <w:t xml:space="preserve"> </w:t>
      </w:r>
    </w:p>
    <w:p w:rsidR="006E0D91" w:rsidRDefault="007E46E1" w:rsidP="00531D6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В настоящее время ведется работа по организации условий реализации права на самостоятельное проведение НОК на </w:t>
      </w:r>
      <w:r w:rsidR="00E6712F">
        <w:rPr>
          <w:szCs w:val="28"/>
        </w:rPr>
        <w:t>муниципальном уровне</w:t>
      </w:r>
      <w:r>
        <w:rPr>
          <w:szCs w:val="28"/>
        </w:rPr>
        <w:t xml:space="preserve">. Проведен мониторинг наличия общественных советов, наделенных полномочиями по НОК, при органах исполнительной власти местного самоуправления (далее – ОИВ МСУ) в регионе. Установлено, что в четырех муниципальных районах отсутствуют общественные советы при ОИВ МСУ, </w:t>
      </w:r>
      <w:r w:rsidR="00531D61">
        <w:rPr>
          <w:szCs w:val="28"/>
        </w:rPr>
        <w:t xml:space="preserve">из 10-ти действующих общественных советов при ОИВ МСУ пять не наделены полномочиями по НОК. В муниципалитетах не назначены специалисты, ответственные за размещение информации </w:t>
      </w:r>
      <w:r w:rsidR="00531D61">
        <w:rPr>
          <w:rFonts w:eastAsia="Calibri"/>
          <w:szCs w:val="28"/>
        </w:rPr>
        <w:t>в информационно-телекоммуникационной сети «Интернет»</w:t>
      </w:r>
      <w:r w:rsidR="00531D61" w:rsidRPr="00531D61">
        <w:rPr>
          <w:szCs w:val="28"/>
        </w:rPr>
        <w:t xml:space="preserve"> </w:t>
      </w:r>
      <w:r w:rsidR="00531D61">
        <w:rPr>
          <w:szCs w:val="28"/>
        </w:rPr>
        <w:t xml:space="preserve">на официальном сайте </w:t>
      </w:r>
      <w:hyperlink r:id="rId9" w:history="1">
        <w:r w:rsidR="00531D61" w:rsidRPr="001F2720">
          <w:rPr>
            <w:rStyle w:val="a5"/>
            <w:szCs w:val="28"/>
          </w:rPr>
          <w:t>https://bus.gov.ru</w:t>
        </w:r>
      </w:hyperlink>
      <w:r w:rsidR="00531D61">
        <w:rPr>
          <w:rFonts w:eastAsia="Calibri"/>
          <w:szCs w:val="28"/>
        </w:rPr>
        <w:t>, во исполнение пункта 5 порядка размещения информации о результатах НОК, утвержденного приказом Министерства Финансов Российской Федерации от 22.07.2015 № 116н. Информация о действующих общественных советах при ОИВ МСУ не размещена</w:t>
      </w:r>
      <w:r w:rsidR="00531D61" w:rsidRPr="00531D61">
        <w:rPr>
          <w:szCs w:val="28"/>
        </w:rPr>
        <w:t xml:space="preserve"> </w:t>
      </w:r>
      <w:r w:rsidR="00531D61">
        <w:rPr>
          <w:szCs w:val="28"/>
        </w:rPr>
        <w:t xml:space="preserve">на официальном сайте </w:t>
      </w:r>
      <w:hyperlink r:id="rId10" w:history="1">
        <w:r w:rsidR="00531D61" w:rsidRPr="001F2720">
          <w:rPr>
            <w:rStyle w:val="a5"/>
            <w:szCs w:val="28"/>
          </w:rPr>
          <w:t>https://bus.gov.ru</w:t>
        </w:r>
      </w:hyperlink>
      <w:r w:rsidR="00531D61">
        <w:rPr>
          <w:rStyle w:val="a5"/>
          <w:szCs w:val="28"/>
        </w:rPr>
        <w:t>.</w:t>
      </w:r>
      <w:r w:rsidR="00531D61">
        <w:rPr>
          <w:rFonts w:eastAsia="Calibri"/>
          <w:szCs w:val="28"/>
        </w:rPr>
        <w:t xml:space="preserve"> Рекомендации по организации системы НОК на муниципальном уровне</w:t>
      </w:r>
      <w:r w:rsidR="00F954D4">
        <w:rPr>
          <w:rFonts w:eastAsia="Calibri"/>
          <w:szCs w:val="28"/>
        </w:rPr>
        <w:t xml:space="preserve"> в срок до 01 декабря 2017 года</w:t>
      </w:r>
      <w:r w:rsidR="00E6712F">
        <w:rPr>
          <w:rFonts w:eastAsia="Calibri"/>
          <w:szCs w:val="28"/>
        </w:rPr>
        <w:t xml:space="preserve"> по инициативе Министерства</w:t>
      </w:r>
      <w:r w:rsidR="00F954D4">
        <w:rPr>
          <w:rFonts w:eastAsia="Calibri"/>
          <w:szCs w:val="28"/>
        </w:rPr>
        <w:t xml:space="preserve"> включены в </w:t>
      </w:r>
      <w:r w:rsidR="006E0D91">
        <w:rPr>
          <w:rFonts w:eastAsia="Calibri"/>
          <w:szCs w:val="28"/>
        </w:rPr>
        <w:t>протокол</w:t>
      </w:r>
      <w:r w:rsidR="00F954D4">
        <w:rPr>
          <w:rFonts w:eastAsia="Calibri"/>
          <w:szCs w:val="28"/>
        </w:rPr>
        <w:t xml:space="preserve"> заседания Совета по вопросам экономического развития муниципальных</w:t>
      </w:r>
      <w:r w:rsidR="006E0D91">
        <w:rPr>
          <w:rFonts w:eastAsia="Calibri"/>
          <w:szCs w:val="28"/>
        </w:rPr>
        <w:t xml:space="preserve"> образований в Камчатском крае от </w:t>
      </w:r>
      <w:r w:rsidR="00F954D4">
        <w:rPr>
          <w:rFonts w:eastAsia="Calibri"/>
          <w:szCs w:val="28"/>
        </w:rPr>
        <w:t>27.03.2017 года</w:t>
      </w:r>
      <w:r w:rsidR="00531D61">
        <w:rPr>
          <w:rFonts w:eastAsia="Calibri"/>
          <w:szCs w:val="28"/>
        </w:rPr>
        <w:t xml:space="preserve">. </w:t>
      </w:r>
    </w:p>
    <w:p w:rsidR="00A96C2E" w:rsidRDefault="00531D61" w:rsidP="00531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Calibri"/>
          <w:szCs w:val="28"/>
        </w:rPr>
        <w:t>На сегодняшний день во всех муниципальных районах и городских округах Камчатского края назначены специалисты, курирующие НОК в сфере культуры, на которых возложена функция по организационному содействию проведения НОК подведомственных учреждений</w:t>
      </w:r>
      <w:r w:rsidR="00F954D4" w:rsidRPr="00F954D4">
        <w:rPr>
          <w:rFonts w:eastAsia="Calibri"/>
          <w:szCs w:val="28"/>
        </w:rPr>
        <w:t xml:space="preserve"> </w:t>
      </w:r>
      <w:r w:rsidR="00F954D4">
        <w:rPr>
          <w:rFonts w:eastAsia="Calibri"/>
          <w:szCs w:val="28"/>
        </w:rPr>
        <w:t>в 2017 году.</w:t>
      </w:r>
      <w:r>
        <w:rPr>
          <w:rFonts w:eastAsia="Calibri"/>
          <w:szCs w:val="28"/>
        </w:rPr>
        <w:t xml:space="preserve"> </w:t>
      </w:r>
      <w:r w:rsidR="00F954D4">
        <w:rPr>
          <w:rFonts w:eastAsia="Calibri"/>
          <w:szCs w:val="28"/>
        </w:rPr>
        <w:t xml:space="preserve">Полученный специалистами практический опыт также будет способствовать развитию системы НОК на </w:t>
      </w:r>
      <w:r w:rsidR="00E6712F">
        <w:rPr>
          <w:rFonts w:eastAsia="Calibri"/>
          <w:szCs w:val="28"/>
        </w:rPr>
        <w:t>муниципальном уровне</w:t>
      </w:r>
      <w:r w:rsidR="00F954D4">
        <w:rPr>
          <w:rFonts w:eastAsia="Calibri"/>
          <w:szCs w:val="28"/>
        </w:rPr>
        <w:t xml:space="preserve">. </w:t>
      </w:r>
    </w:p>
    <w:p w:rsidR="00DE1C8E" w:rsidRDefault="00F954D4" w:rsidP="003261F9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В целях размещ</w:t>
      </w:r>
      <w:r w:rsidR="00A64223">
        <w:rPr>
          <w:szCs w:val="28"/>
        </w:rPr>
        <w:t xml:space="preserve">ения перечня учреждений культуры, подлежащих НОК в 2017 году, совместно со специалистами муниципальных администраций была проведена актуализация сведений о муниципальных учреждениях культуры. </w:t>
      </w:r>
      <w:r w:rsidR="00A96C2E">
        <w:rPr>
          <w:szCs w:val="28"/>
        </w:rPr>
        <w:t>В ходе мо</w:t>
      </w:r>
      <w:r w:rsidR="003261F9">
        <w:rPr>
          <w:szCs w:val="28"/>
        </w:rPr>
        <w:t>ниторинга были уточнены данные, которыми ранее располагал</w:t>
      </w:r>
      <w:r w:rsidR="00A64223">
        <w:rPr>
          <w:szCs w:val="28"/>
        </w:rPr>
        <w:t xml:space="preserve"> Совет</w:t>
      </w:r>
      <w:r w:rsidR="003261F9">
        <w:rPr>
          <w:szCs w:val="28"/>
        </w:rPr>
        <w:t>, в связи с чем возникла необходимость скорректировать</w:t>
      </w:r>
      <w:r w:rsidR="00A96C2E">
        <w:rPr>
          <w:szCs w:val="28"/>
        </w:rPr>
        <w:t xml:space="preserve"> </w:t>
      </w:r>
      <w:r w:rsidR="003261F9">
        <w:rPr>
          <w:szCs w:val="28"/>
        </w:rPr>
        <w:t xml:space="preserve">перечень учреждений культуры Камчатского края, подлежащих </w:t>
      </w:r>
      <w:r w:rsidR="00A64223">
        <w:rPr>
          <w:szCs w:val="28"/>
        </w:rPr>
        <w:t>НОК</w:t>
      </w:r>
      <w:r w:rsidR="003261F9">
        <w:rPr>
          <w:szCs w:val="28"/>
        </w:rPr>
        <w:t xml:space="preserve"> в 2017 году, утвержденный</w:t>
      </w:r>
      <w:r w:rsidR="00A64223">
        <w:rPr>
          <w:szCs w:val="28"/>
        </w:rPr>
        <w:t xml:space="preserve"> ранее</w:t>
      </w:r>
      <w:r w:rsidR="003261F9">
        <w:rPr>
          <w:szCs w:val="28"/>
        </w:rPr>
        <w:t xml:space="preserve"> решением Совета. Данные корректировки согласованы с председателем Совета и будут вынесены на согласование Советом на очередном его заседании, которое запланировано на 12.04.2017 года.</w:t>
      </w:r>
    </w:p>
    <w:p w:rsidR="00A64223" w:rsidRPr="00A64223" w:rsidRDefault="00A96C2E" w:rsidP="00EC6085">
      <w:pPr>
        <w:ind w:firstLine="851"/>
        <w:jc w:val="both"/>
        <w:rPr>
          <w:szCs w:val="28"/>
        </w:rPr>
      </w:pPr>
      <w:r>
        <w:rPr>
          <w:szCs w:val="28"/>
        </w:rPr>
        <w:t>На сегодняшний день перечень</w:t>
      </w:r>
      <w:r w:rsidR="00E6712F">
        <w:rPr>
          <w:szCs w:val="28"/>
        </w:rPr>
        <w:t xml:space="preserve"> учреждений культуры, подлежащих НОК в 2017 году,</w:t>
      </w:r>
      <w:r>
        <w:rPr>
          <w:szCs w:val="28"/>
        </w:rPr>
        <w:t xml:space="preserve"> </w:t>
      </w:r>
      <w:r w:rsidR="009F35A6">
        <w:rPr>
          <w:szCs w:val="28"/>
        </w:rPr>
        <w:t xml:space="preserve">в полном объеме </w:t>
      </w:r>
      <w:r>
        <w:rPr>
          <w:szCs w:val="28"/>
        </w:rPr>
        <w:t xml:space="preserve">размещен на официальном сайте </w:t>
      </w:r>
      <w:hyperlink r:id="rId11" w:history="1">
        <w:r w:rsidRPr="001F2720">
          <w:rPr>
            <w:rStyle w:val="a5"/>
            <w:szCs w:val="28"/>
          </w:rPr>
          <w:t>https://bus.gov.ru</w:t>
        </w:r>
      </w:hyperlink>
      <w:r>
        <w:rPr>
          <w:szCs w:val="28"/>
        </w:rPr>
        <w:t xml:space="preserve">. </w:t>
      </w:r>
    </w:p>
    <w:p w:rsidR="00D54F0D" w:rsidRDefault="009F35A6" w:rsidP="009F35A6">
      <w:pPr>
        <w:ind w:firstLine="851"/>
        <w:jc w:val="both"/>
        <w:rPr>
          <w:szCs w:val="28"/>
        </w:rPr>
      </w:pPr>
      <w:r>
        <w:rPr>
          <w:szCs w:val="28"/>
        </w:rPr>
        <w:t>Со стороны двух организаций поступили коммерческие предложения выступить операторами по проведению независимой оценки качества. Данные предложения будут рассмотрены на очередном заседании Совета, запланированного к проведению в апреле (заседание планировалось на 12 апреля 2017 года, но отложено в связи с безвременной кончиной одного из членов Совета и активным участием многих членов Совета в организации поминальных мероприятий, в связи с чем собрать кворум не представлялось возможности).</w:t>
      </w:r>
    </w:p>
    <w:p w:rsidR="009F35A6" w:rsidRDefault="009F35A6" w:rsidP="009F35A6">
      <w:pPr>
        <w:ind w:firstLine="851"/>
        <w:jc w:val="both"/>
        <w:rPr>
          <w:szCs w:val="28"/>
        </w:rPr>
      </w:pPr>
      <w:r>
        <w:rPr>
          <w:szCs w:val="28"/>
        </w:rPr>
        <w:t>К рассмотрению на очередном заседании Совета также подготовлен проект технического задания для организации-оператора по проведению независимой оценки качества услуг, предоставляемых учреждениями культуры. Полевой период по сбору данных о качестве работы учреждений запланирован на май 2017 года.</w:t>
      </w:r>
    </w:p>
    <w:p w:rsidR="00F2152A" w:rsidRDefault="00F2152A" w:rsidP="00F2152A">
      <w:pPr>
        <w:ind w:firstLine="851"/>
        <w:jc w:val="both"/>
        <w:rPr>
          <w:szCs w:val="28"/>
        </w:rPr>
      </w:pPr>
      <w:r>
        <w:rPr>
          <w:szCs w:val="28"/>
        </w:rPr>
        <w:t xml:space="preserve">Министерство также подготовлен проект Положения о </w:t>
      </w:r>
      <w:r w:rsidRPr="00F2152A">
        <w:rPr>
          <w:szCs w:val="28"/>
        </w:rPr>
        <w:t>рейтинговании краевых государственных учреждений культуры, подведомственных Министерству культуры Камчатского края, в рамках независимой системы оценки качества предоставления услуг и информационной активности. Данный рейтинг рассчитывается на основании</w:t>
      </w:r>
      <w:r>
        <w:rPr>
          <w:szCs w:val="28"/>
        </w:rPr>
        <w:t>:</w:t>
      </w:r>
    </w:p>
    <w:p w:rsidR="00F2152A" w:rsidRPr="00F2152A" w:rsidRDefault="00F2152A" w:rsidP="00F2152A">
      <w:pPr>
        <w:ind w:firstLine="851"/>
        <w:jc w:val="both"/>
        <w:rPr>
          <w:szCs w:val="28"/>
        </w:rPr>
      </w:pPr>
      <w:r w:rsidRPr="00F2152A">
        <w:rPr>
          <w:szCs w:val="28"/>
        </w:rPr>
        <w:t xml:space="preserve">данных, полученных в ходе проведения независимой оценки качества (далее - НОК) оказания услуг учреждениями культуры; </w:t>
      </w:r>
    </w:p>
    <w:p w:rsidR="00F2152A" w:rsidRPr="00F2152A" w:rsidRDefault="00F2152A" w:rsidP="00F2152A">
      <w:pPr>
        <w:ind w:firstLine="851"/>
        <w:jc w:val="both"/>
        <w:rPr>
          <w:szCs w:val="28"/>
        </w:rPr>
      </w:pPr>
      <w:r w:rsidRPr="00F2152A">
        <w:rPr>
          <w:szCs w:val="28"/>
        </w:rPr>
        <w:t xml:space="preserve">данных об исполнении мероприятий, направленных на устранение недостатков в работе, выявленных в ходе НОК, и на улучшения качества оказания услуг населению; </w:t>
      </w:r>
    </w:p>
    <w:p w:rsidR="00F2152A" w:rsidRPr="00F2152A" w:rsidRDefault="00F2152A" w:rsidP="00F2152A">
      <w:pPr>
        <w:ind w:firstLine="851"/>
        <w:jc w:val="both"/>
        <w:rPr>
          <w:szCs w:val="28"/>
        </w:rPr>
      </w:pPr>
      <w:r w:rsidRPr="00F2152A">
        <w:rPr>
          <w:szCs w:val="28"/>
        </w:rPr>
        <w:t>данных мониторингов удовлетворенности потребителей услуг в сфере культуры качеством их предоставления;</w:t>
      </w:r>
    </w:p>
    <w:p w:rsidR="00F2152A" w:rsidRDefault="00F2152A" w:rsidP="00F2152A">
      <w:pPr>
        <w:ind w:firstLine="851"/>
        <w:jc w:val="both"/>
        <w:rPr>
          <w:szCs w:val="28"/>
        </w:rPr>
      </w:pPr>
      <w:r w:rsidRPr="00F2152A">
        <w:rPr>
          <w:szCs w:val="28"/>
        </w:rPr>
        <w:t>данных об информационной активности краевых государственных учреждений культуры в АИС «Единое информационное пространство в сфере культуры».</w:t>
      </w:r>
    </w:p>
    <w:p w:rsidR="00F2152A" w:rsidRPr="00F2152A" w:rsidRDefault="00F2152A" w:rsidP="00F2152A">
      <w:pPr>
        <w:ind w:firstLine="851"/>
        <w:jc w:val="both"/>
        <w:rPr>
          <w:szCs w:val="28"/>
        </w:rPr>
      </w:pPr>
      <w:r>
        <w:rPr>
          <w:szCs w:val="28"/>
        </w:rPr>
        <w:t xml:space="preserve">Результаты рейтинга являются показателями </w:t>
      </w:r>
      <w:r w:rsidRPr="003635BE">
        <w:rPr>
          <w:szCs w:val="28"/>
        </w:rPr>
        <w:t xml:space="preserve">эффективности деятельности </w:t>
      </w:r>
      <w:r>
        <w:rPr>
          <w:szCs w:val="28"/>
        </w:rPr>
        <w:t>КГУ</w:t>
      </w:r>
      <w:r w:rsidRPr="003635BE">
        <w:rPr>
          <w:szCs w:val="28"/>
        </w:rPr>
        <w:t>, подведомственных Министерству</w:t>
      </w:r>
      <w:r>
        <w:rPr>
          <w:szCs w:val="28"/>
        </w:rPr>
        <w:t>,</w:t>
      </w:r>
      <w:r w:rsidRPr="003635BE">
        <w:rPr>
          <w:szCs w:val="28"/>
        </w:rPr>
        <w:t xml:space="preserve"> и</w:t>
      </w:r>
      <w:r>
        <w:rPr>
          <w:szCs w:val="28"/>
        </w:rPr>
        <w:t xml:space="preserve"> влияют на условия</w:t>
      </w:r>
      <w:r w:rsidRPr="003635BE">
        <w:rPr>
          <w:szCs w:val="28"/>
        </w:rPr>
        <w:t xml:space="preserve"> премирования </w:t>
      </w:r>
      <w:r>
        <w:rPr>
          <w:szCs w:val="28"/>
        </w:rPr>
        <w:t xml:space="preserve">их </w:t>
      </w:r>
      <w:r w:rsidRPr="003635BE">
        <w:rPr>
          <w:szCs w:val="28"/>
        </w:rPr>
        <w:t>руководителей</w:t>
      </w:r>
      <w:r>
        <w:rPr>
          <w:szCs w:val="28"/>
        </w:rPr>
        <w:t>, в связи с чем в</w:t>
      </w:r>
      <w:r w:rsidRPr="00EE255A">
        <w:t xml:space="preserve"> </w:t>
      </w:r>
      <w:r w:rsidRPr="00EE255A">
        <w:rPr>
          <w:szCs w:val="28"/>
        </w:rPr>
        <w:t xml:space="preserve">приложения № 1, 2, 3 к приказу </w:t>
      </w:r>
      <w:r w:rsidRPr="001040D4">
        <w:rPr>
          <w:rFonts w:eastAsia="Arial" w:cs="Arial"/>
          <w:color w:val="000000"/>
          <w:szCs w:val="28"/>
        </w:rPr>
        <w:t>Министерства культуры Камчатского края от 11.07.2013 №</w:t>
      </w:r>
      <w:r>
        <w:rPr>
          <w:rFonts w:eastAsia="Arial" w:cs="Arial"/>
          <w:color w:val="000000"/>
          <w:szCs w:val="28"/>
        </w:rPr>
        <w:t xml:space="preserve"> </w:t>
      </w:r>
      <w:r w:rsidRPr="001040D4">
        <w:rPr>
          <w:rFonts w:eastAsia="Arial" w:cs="Arial"/>
          <w:color w:val="000000"/>
          <w:szCs w:val="28"/>
        </w:rPr>
        <w:t>182 «Об утверждении показателей и критери</w:t>
      </w:r>
      <w:r>
        <w:rPr>
          <w:rFonts w:eastAsia="Arial" w:cs="Arial"/>
          <w:color w:val="000000"/>
          <w:szCs w:val="28"/>
        </w:rPr>
        <w:t>ев</w:t>
      </w:r>
      <w:r w:rsidRPr="001040D4">
        <w:rPr>
          <w:rFonts w:eastAsia="Arial" w:cs="Arial"/>
          <w:color w:val="000000"/>
          <w:szCs w:val="28"/>
        </w:rPr>
        <w:t xml:space="preserve"> оценки эффективности деятельности учреждений культуры, подведомственных Министерству культуры </w:t>
      </w:r>
      <w:r w:rsidRPr="001040D4">
        <w:rPr>
          <w:rFonts w:eastAsia="Arial" w:cs="Arial"/>
          <w:color w:val="000000"/>
          <w:szCs w:val="28"/>
        </w:rPr>
        <w:lastRenderedPageBreak/>
        <w:t>Камчатского края и условиях премирования их руководителей»</w:t>
      </w:r>
      <w:r>
        <w:rPr>
          <w:rFonts w:eastAsia="Arial" w:cs="Arial"/>
          <w:color w:val="000000"/>
          <w:szCs w:val="28"/>
        </w:rPr>
        <w:t xml:space="preserve"> потребуется внесение соответствующих изменений.</w:t>
      </w:r>
    </w:p>
    <w:p w:rsidR="00F2152A" w:rsidRDefault="00F2152A" w:rsidP="009F35A6">
      <w:pPr>
        <w:ind w:firstLine="851"/>
        <w:jc w:val="both"/>
        <w:rPr>
          <w:szCs w:val="28"/>
        </w:rPr>
      </w:pPr>
      <w:r>
        <w:rPr>
          <w:szCs w:val="28"/>
        </w:rPr>
        <w:t>В настоящее время проект положения о рейтинговании проходит правовую экспертизу.</w:t>
      </w:r>
    </w:p>
    <w:p w:rsidR="00EC6085" w:rsidRDefault="00EC6085" w:rsidP="009F35A6">
      <w:pPr>
        <w:ind w:firstLine="851"/>
        <w:jc w:val="both"/>
        <w:rPr>
          <w:szCs w:val="28"/>
        </w:rPr>
      </w:pPr>
      <w:r>
        <w:rPr>
          <w:szCs w:val="28"/>
        </w:rPr>
        <w:t>Информационная кампания, освещающая НОК в сфере культуры региона запланирована на второй квартал 2017 года в рамках следующего плана: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988"/>
        <w:gridCol w:w="6378"/>
        <w:gridCol w:w="2268"/>
      </w:tblGrid>
      <w:tr w:rsidR="00EC6085" w:rsidRPr="008850B6" w:rsidTr="00EC6085">
        <w:tc>
          <w:tcPr>
            <w:tcW w:w="98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№ п/п</w:t>
            </w:r>
          </w:p>
        </w:tc>
        <w:tc>
          <w:tcPr>
            <w:tcW w:w="637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СРОКИ РЕАЛИЗАЦИИ</w:t>
            </w:r>
          </w:p>
        </w:tc>
      </w:tr>
      <w:tr w:rsidR="00EC6085" w:rsidRPr="008850B6" w:rsidTr="00EC6085">
        <w:tc>
          <w:tcPr>
            <w:tcW w:w="98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Актуализация информации по НОК на официальной странице Министерства культуры на сайте Правительства Камчатского края</w:t>
            </w:r>
          </w:p>
        </w:tc>
        <w:tc>
          <w:tcPr>
            <w:tcW w:w="226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До 15.05.2017</w:t>
            </w:r>
          </w:p>
        </w:tc>
      </w:tr>
      <w:tr w:rsidR="00EC6085" w:rsidRPr="008850B6" w:rsidTr="00EC6085">
        <w:tc>
          <w:tcPr>
            <w:tcW w:w="98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Подготовка и распространения в СМИ пресс-релиза о начале полевого этапа по сбору информации о качестве услуг, предоставляемых учреждениями культуры в Камчатском крае, и о возможности участия в проведении НОК</w:t>
            </w:r>
          </w:p>
        </w:tc>
        <w:tc>
          <w:tcPr>
            <w:tcW w:w="226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До 15.05.2017 – подготовка</w:t>
            </w:r>
          </w:p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15-30.05.2017 - распространение</w:t>
            </w:r>
          </w:p>
        </w:tc>
      </w:tr>
      <w:tr w:rsidR="00EC6085" w:rsidRPr="008850B6" w:rsidTr="00EC6085">
        <w:tc>
          <w:tcPr>
            <w:tcW w:w="98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Прямой эфир – интервью на канале ВГТРК «Россия» со специалистом Министерства о системе независимой оценки качества предоставления услуг в сфере культуры и возможностях участия в ней</w:t>
            </w:r>
          </w:p>
        </w:tc>
        <w:tc>
          <w:tcPr>
            <w:tcW w:w="226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  <w:lang w:val="en-US"/>
              </w:rPr>
              <w:t>II</w:t>
            </w:r>
            <w:r w:rsidRPr="008850B6">
              <w:rPr>
                <w:sz w:val="24"/>
                <w:szCs w:val="24"/>
              </w:rPr>
              <w:t xml:space="preserve"> квартал 2017 года</w:t>
            </w:r>
          </w:p>
        </w:tc>
      </w:tr>
      <w:tr w:rsidR="00EC6085" w:rsidRPr="008850B6" w:rsidTr="00EC6085">
        <w:tc>
          <w:tcPr>
            <w:tcW w:w="98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Размещение информации о результатах НОК в сфере культуры в регионе на официальной странице Министерства культуры на сайте Правительства Камчатского края</w:t>
            </w:r>
          </w:p>
        </w:tc>
        <w:tc>
          <w:tcPr>
            <w:tcW w:w="226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До 30.09.2017 года</w:t>
            </w:r>
          </w:p>
        </w:tc>
      </w:tr>
      <w:tr w:rsidR="00EC6085" w:rsidRPr="008850B6" w:rsidTr="00EC6085">
        <w:tc>
          <w:tcPr>
            <w:tcW w:w="98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Подготовка и распространение в СМИ информации о результатах рейтингования в рамках системы НОК</w:t>
            </w:r>
          </w:p>
        </w:tc>
        <w:tc>
          <w:tcPr>
            <w:tcW w:w="226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До 30.09.2017 года</w:t>
            </w:r>
          </w:p>
        </w:tc>
      </w:tr>
      <w:tr w:rsidR="00EC6085" w:rsidRPr="008850B6" w:rsidTr="00EC6085">
        <w:tc>
          <w:tcPr>
            <w:tcW w:w="98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Разработка и размещение на Едином портале культуры Камчатского края (</w:t>
            </w:r>
            <w:hyperlink r:id="rId12" w:history="1">
              <w:r w:rsidRPr="008850B6">
                <w:rPr>
                  <w:rStyle w:val="a5"/>
                  <w:sz w:val="24"/>
                  <w:szCs w:val="24"/>
                </w:rPr>
                <w:t>http://kamculture.ru/</w:t>
              </w:r>
            </w:hyperlink>
            <w:r w:rsidRPr="008850B6">
              <w:rPr>
                <w:sz w:val="24"/>
                <w:szCs w:val="24"/>
              </w:rPr>
              <w:t>) модуля независимой оценки качества</w:t>
            </w:r>
          </w:p>
        </w:tc>
        <w:tc>
          <w:tcPr>
            <w:tcW w:w="226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До 30.09.2017 года</w:t>
            </w:r>
          </w:p>
        </w:tc>
      </w:tr>
      <w:tr w:rsidR="00EC6085" w:rsidRPr="008850B6" w:rsidTr="00EC6085">
        <w:tc>
          <w:tcPr>
            <w:tcW w:w="98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37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Подготовка и распространения в СМИ информации о запуске на Едином портале культуры Камчатского края модуля независимой оценки качества, с помощью которого любой желающий может оставить свою оценку качеству работы любого учреждения культуры в регоне, оказывающего услуги населению</w:t>
            </w:r>
          </w:p>
        </w:tc>
        <w:tc>
          <w:tcPr>
            <w:tcW w:w="2268" w:type="dxa"/>
          </w:tcPr>
          <w:p w:rsidR="00EC6085" w:rsidRPr="008850B6" w:rsidRDefault="00EC6085" w:rsidP="00DB6665">
            <w:pPr>
              <w:rPr>
                <w:sz w:val="24"/>
                <w:szCs w:val="24"/>
              </w:rPr>
            </w:pPr>
            <w:r w:rsidRPr="008850B6">
              <w:rPr>
                <w:sz w:val="24"/>
                <w:szCs w:val="24"/>
              </w:rPr>
              <w:t>До 30.10.2017 года</w:t>
            </w:r>
          </w:p>
        </w:tc>
      </w:tr>
    </w:tbl>
    <w:p w:rsidR="00EC6085" w:rsidRDefault="00EC6085" w:rsidP="009F35A6">
      <w:pPr>
        <w:ind w:firstLine="851"/>
        <w:jc w:val="both"/>
        <w:rPr>
          <w:szCs w:val="28"/>
        </w:rPr>
      </w:pPr>
    </w:p>
    <w:sectPr w:rsidR="00EC6085" w:rsidSect="00EC6085">
      <w:pgSz w:w="11906" w:h="16838"/>
      <w:pgMar w:top="962" w:right="850" w:bottom="709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38" w:rsidRDefault="00F13838" w:rsidP="005963EF">
      <w:r>
        <w:separator/>
      </w:r>
    </w:p>
  </w:endnote>
  <w:endnote w:type="continuationSeparator" w:id="0">
    <w:p w:rsidR="00F13838" w:rsidRDefault="00F13838" w:rsidP="0059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38" w:rsidRDefault="00F13838" w:rsidP="005963EF">
      <w:r>
        <w:separator/>
      </w:r>
    </w:p>
  </w:footnote>
  <w:footnote w:type="continuationSeparator" w:id="0">
    <w:p w:rsidR="00F13838" w:rsidRDefault="00F13838" w:rsidP="0059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0680D"/>
    <w:multiLevelType w:val="hybridMultilevel"/>
    <w:tmpl w:val="5C1E7656"/>
    <w:lvl w:ilvl="0" w:tplc="544EA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D34E48"/>
    <w:multiLevelType w:val="hybridMultilevel"/>
    <w:tmpl w:val="5E74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2BE3"/>
    <w:multiLevelType w:val="hybridMultilevel"/>
    <w:tmpl w:val="A24A8588"/>
    <w:lvl w:ilvl="0" w:tplc="A70ABA6A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2342B26"/>
    <w:multiLevelType w:val="hybridMultilevel"/>
    <w:tmpl w:val="31EC8538"/>
    <w:lvl w:ilvl="0" w:tplc="A70ABA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D50C0"/>
    <w:multiLevelType w:val="hybridMultilevel"/>
    <w:tmpl w:val="63BA71BC"/>
    <w:lvl w:ilvl="0" w:tplc="5CE06C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8E238AA"/>
    <w:multiLevelType w:val="hybridMultilevel"/>
    <w:tmpl w:val="4726FDA2"/>
    <w:lvl w:ilvl="0" w:tplc="4704D79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A1"/>
    <w:rsid w:val="00087CD6"/>
    <w:rsid w:val="001B7897"/>
    <w:rsid w:val="00207F26"/>
    <w:rsid w:val="00216586"/>
    <w:rsid w:val="00255115"/>
    <w:rsid w:val="00293A4E"/>
    <w:rsid w:val="002B0D96"/>
    <w:rsid w:val="002B27E4"/>
    <w:rsid w:val="003261F9"/>
    <w:rsid w:val="00355583"/>
    <w:rsid w:val="003F08D8"/>
    <w:rsid w:val="0046165A"/>
    <w:rsid w:val="004C4F37"/>
    <w:rsid w:val="004E04CA"/>
    <w:rsid w:val="004E2925"/>
    <w:rsid w:val="004E6A92"/>
    <w:rsid w:val="004F3194"/>
    <w:rsid w:val="00531D61"/>
    <w:rsid w:val="005963EF"/>
    <w:rsid w:val="00597BA1"/>
    <w:rsid w:val="005A7AB8"/>
    <w:rsid w:val="005C2AE4"/>
    <w:rsid w:val="005F5443"/>
    <w:rsid w:val="006069B3"/>
    <w:rsid w:val="00631113"/>
    <w:rsid w:val="00652096"/>
    <w:rsid w:val="00693C6F"/>
    <w:rsid w:val="006E0D91"/>
    <w:rsid w:val="006F2957"/>
    <w:rsid w:val="007040E4"/>
    <w:rsid w:val="00706EBE"/>
    <w:rsid w:val="00783DB4"/>
    <w:rsid w:val="0079439E"/>
    <w:rsid w:val="007B77ED"/>
    <w:rsid w:val="007E46E1"/>
    <w:rsid w:val="008470E2"/>
    <w:rsid w:val="00861C7D"/>
    <w:rsid w:val="00864F66"/>
    <w:rsid w:val="00880E01"/>
    <w:rsid w:val="008A2EDA"/>
    <w:rsid w:val="009035AC"/>
    <w:rsid w:val="009747E4"/>
    <w:rsid w:val="009B6B10"/>
    <w:rsid w:val="009D2C2E"/>
    <w:rsid w:val="009D5100"/>
    <w:rsid w:val="009F35A6"/>
    <w:rsid w:val="00A044BD"/>
    <w:rsid w:val="00A46A55"/>
    <w:rsid w:val="00A6283F"/>
    <w:rsid w:val="00A63409"/>
    <w:rsid w:val="00A64223"/>
    <w:rsid w:val="00A96C2E"/>
    <w:rsid w:val="00AC3355"/>
    <w:rsid w:val="00AC3884"/>
    <w:rsid w:val="00B9732E"/>
    <w:rsid w:val="00C72AB9"/>
    <w:rsid w:val="00C91E04"/>
    <w:rsid w:val="00CC649D"/>
    <w:rsid w:val="00D03235"/>
    <w:rsid w:val="00D54C44"/>
    <w:rsid w:val="00D54F0D"/>
    <w:rsid w:val="00D571DF"/>
    <w:rsid w:val="00D730DF"/>
    <w:rsid w:val="00D90A3A"/>
    <w:rsid w:val="00D928CD"/>
    <w:rsid w:val="00DE1C8E"/>
    <w:rsid w:val="00DE46A2"/>
    <w:rsid w:val="00E23FD2"/>
    <w:rsid w:val="00E6712F"/>
    <w:rsid w:val="00EA4A58"/>
    <w:rsid w:val="00EB5153"/>
    <w:rsid w:val="00EC6085"/>
    <w:rsid w:val="00EF0C59"/>
    <w:rsid w:val="00F13838"/>
    <w:rsid w:val="00F2152A"/>
    <w:rsid w:val="00F954D4"/>
    <w:rsid w:val="00F962B5"/>
    <w:rsid w:val="00FA76AB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C0275-9B72-40BB-80B2-699C1CD2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54F0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54F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D54F0D"/>
    <w:rPr>
      <w:color w:val="0000FF"/>
      <w:u w:val="single"/>
    </w:rPr>
  </w:style>
  <w:style w:type="paragraph" w:styleId="3">
    <w:name w:val="Body Text 3"/>
    <w:basedOn w:val="a"/>
    <w:link w:val="30"/>
    <w:rsid w:val="00D54F0D"/>
    <w:pPr>
      <w:ind w:right="175"/>
      <w:jc w:val="center"/>
    </w:pPr>
    <w:rPr>
      <w:b/>
      <w:bCs/>
      <w:spacing w:val="-16"/>
    </w:rPr>
  </w:style>
  <w:style w:type="character" w:customStyle="1" w:styleId="30">
    <w:name w:val="Основной текст 3 Знак"/>
    <w:basedOn w:val="a0"/>
    <w:link w:val="3"/>
    <w:rsid w:val="00D54F0D"/>
    <w:rPr>
      <w:rFonts w:ascii="Times New Roman" w:eastAsia="Times New Roman" w:hAnsi="Times New Roman" w:cs="Times New Roman"/>
      <w:b/>
      <w:bCs/>
      <w:spacing w:val="-16"/>
      <w:sz w:val="28"/>
      <w:szCs w:val="20"/>
      <w:lang w:eastAsia="ru-RU"/>
    </w:rPr>
  </w:style>
  <w:style w:type="table" w:styleId="a6">
    <w:name w:val="Table Grid"/>
    <w:basedOn w:val="a1"/>
    <w:uiPriority w:val="39"/>
    <w:rsid w:val="00A0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5963EF"/>
    <w:rPr>
      <w:sz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96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5963EF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5963EF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96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963E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B27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27E4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255115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72AB9"/>
  </w:style>
  <w:style w:type="paragraph" w:customStyle="1" w:styleId="ConsNonformat">
    <w:name w:val="ConsNonformat"/>
    <w:rsid w:val="00F2152A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amcultur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476F-6258-467B-88D3-A221F65C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Хорунжая Екатерина Александровна</cp:lastModifiedBy>
  <cp:revision>5</cp:revision>
  <cp:lastPrinted>2016-07-22T02:41:00Z</cp:lastPrinted>
  <dcterms:created xsi:type="dcterms:W3CDTF">2017-04-17T01:56:00Z</dcterms:created>
  <dcterms:modified xsi:type="dcterms:W3CDTF">2017-04-17T23:35:00Z</dcterms:modified>
</cp:coreProperties>
</file>